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B6B4" w14:textId="77777777" w:rsidR="00305072" w:rsidRDefault="00305072" w:rsidP="00305072">
      <w:pPr>
        <w:rPr>
          <w:b/>
          <w:bCs/>
          <w:sz w:val="28"/>
          <w:szCs w:val="28"/>
        </w:rPr>
      </w:pPr>
    </w:p>
    <w:p w14:paraId="087B6CA2" w14:textId="02081E5F" w:rsidR="00305072" w:rsidRPr="00305072" w:rsidRDefault="00305072" w:rsidP="00305072">
      <w:pPr>
        <w:rPr>
          <w:b/>
          <w:bCs/>
          <w:sz w:val="28"/>
          <w:szCs w:val="28"/>
        </w:rPr>
      </w:pPr>
      <w:r w:rsidRPr="00305072">
        <w:rPr>
          <w:b/>
          <w:bCs/>
          <w:sz w:val="28"/>
          <w:szCs w:val="28"/>
        </w:rPr>
        <w:t>Tavshedserklæring for en person uden</w:t>
      </w:r>
      <w:r>
        <w:rPr>
          <w:b/>
          <w:bCs/>
          <w:sz w:val="28"/>
          <w:szCs w:val="28"/>
        </w:rPr>
        <w:t xml:space="preserve"> </w:t>
      </w:r>
      <w:r w:rsidRPr="00305072">
        <w:rPr>
          <w:b/>
          <w:bCs/>
          <w:sz w:val="28"/>
          <w:szCs w:val="28"/>
        </w:rPr>
        <w:t>for den offentlige forvaltning</w:t>
      </w:r>
    </w:p>
    <w:p w14:paraId="2F8E3B08" w14:textId="77777777" w:rsidR="00305072" w:rsidRDefault="00305072" w:rsidP="00305072"/>
    <w:p w14:paraId="4EDDD67B" w14:textId="34643D29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En person uden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for den offentlige forvaltning</w:t>
      </w:r>
      <w:r>
        <w:rPr>
          <w:sz w:val="24"/>
          <w:szCs w:val="24"/>
        </w:rPr>
        <w:t>,</w:t>
      </w:r>
      <w:r w:rsidRPr="00305072">
        <w:rPr>
          <w:sz w:val="24"/>
          <w:szCs w:val="24"/>
        </w:rPr>
        <w:t xml:space="preserve"> der indkaldes til at deltage i et Familieteam</w:t>
      </w:r>
      <w:r w:rsidR="00B12788">
        <w:rPr>
          <w:sz w:val="24"/>
          <w:szCs w:val="24"/>
        </w:rPr>
        <w:t>-</w:t>
      </w:r>
      <w:r w:rsidRPr="00305072">
        <w:rPr>
          <w:sz w:val="24"/>
          <w:szCs w:val="24"/>
        </w:rPr>
        <w:t>møde</w:t>
      </w:r>
      <w:r>
        <w:rPr>
          <w:sz w:val="24"/>
          <w:szCs w:val="24"/>
        </w:rPr>
        <w:t>,</w:t>
      </w:r>
      <w:r w:rsidRPr="00305072">
        <w:rPr>
          <w:sz w:val="24"/>
          <w:szCs w:val="24"/>
        </w:rPr>
        <w:t xml:space="preserve"> er omfattet af forvaltningslovens bestemmelser om tavshedspligt.</w:t>
      </w:r>
    </w:p>
    <w:p w14:paraId="292D66F8" w14:textId="77777777" w:rsidR="00305072" w:rsidRPr="00305072" w:rsidRDefault="00305072" w:rsidP="00305072">
      <w:pPr>
        <w:rPr>
          <w:sz w:val="24"/>
          <w:szCs w:val="24"/>
        </w:rPr>
      </w:pPr>
    </w:p>
    <w:p w14:paraId="2F7A1A9B" w14:textId="5F10F900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Personen orienteres og underskriver en erklæring herom inden mødet.</w:t>
      </w:r>
    </w:p>
    <w:p w14:paraId="2E4721D3" w14:textId="77777777" w:rsidR="00305072" w:rsidRPr="00305072" w:rsidRDefault="00305072" w:rsidP="00305072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05072" w:rsidRPr="00305072" w14:paraId="1F07D59B" w14:textId="77777777" w:rsidTr="00B12788">
        <w:tc>
          <w:tcPr>
            <w:tcW w:w="2547" w:type="dxa"/>
            <w:shd w:val="clear" w:color="auto" w:fill="F2F2F2" w:themeFill="background1" w:themeFillShade="F2"/>
          </w:tcPr>
          <w:p w14:paraId="61072C77" w14:textId="77777777" w:rsidR="00305072" w:rsidRPr="00305072" w:rsidRDefault="00305072" w:rsidP="00305072">
            <w:pPr>
              <w:rPr>
                <w:sz w:val="24"/>
                <w:szCs w:val="24"/>
              </w:rPr>
            </w:pPr>
            <w:r w:rsidRPr="00305072">
              <w:rPr>
                <w:sz w:val="24"/>
                <w:szCs w:val="24"/>
              </w:rPr>
              <w:t>Navn:</w:t>
            </w:r>
          </w:p>
          <w:p w14:paraId="063A2BF0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14:paraId="00B446AC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</w:tr>
      <w:tr w:rsidR="00305072" w:rsidRPr="00305072" w14:paraId="2FFF6DE0" w14:textId="77777777" w:rsidTr="00B12788">
        <w:tc>
          <w:tcPr>
            <w:tcW w:w="2547" w:type="dxa"/>
            <w:shd w:val="clear" w:color="auto" w:fill="F2F2F2" w:themeFill="background1" w:themeFillShade="F2"/>
          </w:tcPr>
          <w:p w14:paraId="1CFE417E" w14:textId="7D60C3E6" w:rsidR="00305072" w:rsidRPr="00305072" w:rsidRDefault="00305072" w:rsidP="00305072">
            <w:pPr>
              <w:rPr>
                <w:sz w:val="24"/>
                <w:szCs w:val="24"/>
              </w:rPr>
            </w:pPr>
            <w:r w:rsidRPr="00305072">
              <w:rPr>
                <w:sz w:val="24"/>
                <w:szCs w:val="24"/>
              </w:rPr>
              <w:t>Cpr.nr.:</w:t>
            </w:r>
          </w:p>
          <w:p w14:paraId="0A9A59BB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14:paraId="5E70FF4F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</w:tr>
      <w:tr w:rsidR="00305072" w:rsidRPr="00305072" w14:paraId="10970197" w14:textId="77777777" w:rsidTr="00B12788">
        <w:tc>
          <w:tcPr>
            <w:tcW w:w="2547" w:type="dxa"/>
            <w:shd w:val="clear" w:color="auto" w:fill="F2F2F2" w:themeFill="background1" w:themeFillShade="F2"/>
          </w:tcPr>
          <w:p w14:paraId="7154235C" w14:textId="04483FB3" w:rsidR="00305072" w:rsidRPr="00305072" w:rsidRDefault="00305072" w:rsidP="00305072">
            <w:pPr>
              <w:rPr>
                <w:sz w:val="24"/>
                <w:szCs w:val="24"/>
              </w:rPr>
            </w:pPr>
            <w:r w:rsidRPr="00305072">
              <w:rPr>
                <w:sz w:val="24"/>
                <w:szCs w:val="24"/>
              </w:rPr>
              <w:t>Adresse:</w:t>
            </w:r>
          </w:p>
          <w:p w14:paraId="75270962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14:paraId="759FDABA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</w:tr>
      <w:tr w:rsidR="00305072" w:rsidRPr="00305072" w14:paraId="43180290" w14:textId="77777777" w:rsidTr="00B12788">
        <w:tc>
          <w:tcPr>
            <w:tcW w:w="2547" w:type="dxa"/>
            <w:shd w:val="clear" w:color="auto" w:fill="F2F2F2" w:themeFill="background1" w:themeFillShade="F2"/>
          </w:tcPr>
          <w:p w14:paraId="6C02A909" w14:textId="62C0744A" w:rsidR="00305072" w:rsidRPr="00305072" w:rsidRDefault="00305072" w:rsidP="00305072">
            <w:pPr>
              <w:rPr>
                <w:sz w:val="24"/>
                <w:szCs w:val="24"/>
              </w:rPr>
            </w:pPr>
            <w:r w:rsidRPr="00305072">
              <w:rPr>
                <w:sz w:val="24"/>
                <w:szCs w:val="24"/>
              </w:rPr>
              <w:t>Postnummer og by:</w:t>
            </w:r>
          </w:p>
          <w:p w14:paraId="0C24C69D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14:paraId="79E436D2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</w:tr>
      <w:tr w:rsidR="00305072" w:rsidRPr="00305072" w14:paraId="6A0D3003" w14:textId="77777777" w:rsidTr="00B12788">
        <w:tc>
          <w:tcPr>
            <w:tcW w:w="2547" w:type="dxa"/>
            <w:shd w:val="clear" w:color="auto" w:fill="F2F2F2" w:themeFill="background1" w:themeFillShade="F2"/>
          </w:tcPr>
          <w:p w14:paraId="505C3B6E" w14:textId="77777777" w:rsidR="00305072" w:rsidRPr="00305072" w:rsidRDefault="00305072" w:rsidP="00305072">
            <w:pPr>
              <w:rPr>
                <w:sz w:val="24"/>
                <w:szCs w:val="24"/>
              </w:rPr>
            </w:pPr>
            <w:r w:rsidRPr="00305072">
              <w:rPr>
                <w:sz w:val="24"/>
                <w:szCs w:val="24"/>
              </w:rPr>
              <w:t>Relation til barn/børn og familien:</w:t>
            </w:r>
          </w:p>
          <w:p w14:paraId="0B2713ED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14:paraId="6FC8C670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  <w:p w14:paraId="40A0B2A3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  <w:p w14:paraId="753414C1" w14:textId="77777777" w:rsidR="00305072" w:rsidRPr="00305072" w:rsidRDefault="00305072" w:rsidP="00305072">
            <w:pPr>
              <w:rPr>
                <w:sz w:val="24"/>
                <w:szCs w:val="24"/>
              </w:rPr>
            </w:pPr>
          </w:p>
        </w:tc>
      </w:tr>
    </w:tbl>
    <w:p w14:paraId="57965F7A" w14:textId="77777777" w:rsidR="00305072" w:rsidRPr="00305072" w:rsidRDefault="00305072" w:rsidP="00305072">
      <w:pPr>
        <w:rPr>
          <w:sz w:val="24"/>
          <w:szCs w:val="24"/>
        </w:rPr>
      </w:pPr>
    </w:p>
    <w:p w14:paraId="49858050" w14:textId="7CEFDC2D" w:rsidR="00305072" w:rsidRPr="00305072" w:rsidRDefault="00305072" w:rsidP="00305072">
      <w:pPr>
        <w:rPr>
          <w:i/>
          <w:iCs/>
          <w:sz w:val="24"/>
          <w:szCs w:val="24"/>
        </w:rPr>
      </w:pPr>
      <w:r w:rsidRPr="00305072">
        <w:rPr>
          <w:i/>
          <w:iCs/>
          <w:sz w:val="24"/>
          <w:szCs w:val="24"/>
        </w:rPr>
        <w:t>Jeg erklærer herved at være gjort bekendt med den tavshedspligt, som jeg i medfør af forvaltningslovens § 27 og straffelovens § 152 er underlagt på grund af min deltagelse i Familieteammødet.</w:t>
      </w:r>
    </w:p>
    <w:p w14:paraId="552AF9D3" w14:textId="77777777" w:rsidR="00305072" w:rsidRPr="00305072" w:rsidRDefault="00305072" w:rsidP="00305072">
      <w:pPr>
        <w:rPr>
          <w:sz w:val="24"/>
          <w:szCs w:val="24"/>
        </w:rPr>
      </w:pPr>
    </w:p>
    <w:p w14:paraId="771C44BD" w14:textId="77777777" w:rsidR="00305072" w:rsidRPr="00305072" w:rsidRDefault="00305072" w:rsidP="00305072">
      <w:pPr>
        <w:rPr>
          <w:sz w:val="24"/>
          <w:szCs w:val="24"/>
        </w:rPr>
      </w:pPr>
    </w:p>
    <w:p w14:paraId="6E951334" w14:textId="400E5CBA" w:rsidR="00305072" w:rsidRPr="00305072" w:rsidRDefault="00305072" w:rsidP="00305072">
      <w:pPr>
        <w:jc w:val="right"/>
        <w:rPr>
          <w:sz w:val="24"/>
          <w:szCs w:val="24"/>
        </w:rPr>
      </w:pPr>
      <w:r w:rsidRPr="00305072">
        <w:rPr>
          <w:sz w:val="24"/>
          <w:szCs w:val="24"/>
        </w:rPr>
        <w:t>__________________________________________________________________</w:t>
      </w:r>
    </w:p>
    <w:p w14:paraId="680EB4F0" w14:textId="77777777" w:rsidR="00305072" w:rsidRPr="00305072" w:rsidRDefault="00305072" w:rsidP="00305072">
      <w:pPr>
        <w:jc w:val="right"/>
        <w:rPr>
          <w:sz w:val="24"/>
          <w:szCs w:val="24"/>
        </w:rPr>
      </w:pPr>
      <w:r w:rsidRPr="00305072">
        <w:rPr>
          <w:sz w:val="24"/>
          <w:szCs w:val="24"/>
        </w:rPr>
        <w:t>Dato og underskrift</w:t>
      </w:r>
    </w:p>
    <w:p w14:paraId="31951125" w14:textId="77777777" w:rsidR="00305072" w:rsidRPr="00305072" w:rsidRDefault="00305072" w:rsidP="00305072">
      <w:pPr>
        <w:rPr>
          <w:sz w:val="24"/>
          <w:szCs w:val="24"/>
        </w:rPr>
      </w:pPr>
    </w:p>
    <w:p w14:paraId="55A0CE3C" w14:textId="77777777" w:rsidR="00305072" w:rsidRPr="00305072" w:rsidRDefault="00305072" w:rsidP="00305072">
      <w:pPr>
        <w:rPr>
          <w:sz w:val="24"/>
          <w:szCs w:val="24"/>
        </w:rPr>
      </w:pPr>
    </w:p>
    <w:p w14:paraId="17404F8E" w14:textId="3EBF8D69" w:rsidR="00305072" w:rsidRPr="00305072" w:rsidRDefault="00305072" w:rsidP="00305072">
      <w:pPr>
        <w:rPr>
          <w:b/>
          <w:bCs/>
          <w:sz w:val="28"/>
          <w:szCs w:val="28"/>
        </w:rPr>
      </w:pPr>
      <w:r w:rsidRPr="00305072">
        <w:rPr>
          <w:b/>
          <w:bCs/>
          <w:sz w:val="28"/>
          <w:szCs w:val="28"/>
        </w:rPr>
        <w:t>Generelt om tavshedspligt</w:t>
      </w:r>
    </w:p>
    <w:p w14:paraId="387434D6" w14:textId="77777777" w:rsidR="00305072" w:rsidRDefault="00305072" w:rsidP="00305072">
      <w:pPr>
        <w:rPr>
          <w:sz w:val="24"/>
          <w:szCs w:val="24"/>
        </w:rPr>
      </w:pPr>
    </w:p>
    <w:p w14:paraId="79E8B55D" w14:textId="54CC1591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Efter forvaltningslovens § 27 har den, der virker inden for den offentlige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 xml:space="preserve">forvaltning, </w:t>
      </w:r>
      <w:r w:rsidR="00B12788">
        <w:rPr>
          <w:sz w:val="24"/>
          <w:szCs w:val="24"/>
        </w:rPr>
        <w:t>t</w:t>
      </w:r>
      <w:r w:rsidRPr="00305072">
        <w:rPr>
          <w:sz w:val="24"/>
          <w:szCs w:val="24"/>
        </w:rPr>
        <w:t>avshedspligt, når der er tale om oplysninger, der efter loven 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betegnet som fortrolige, eller det i øvrigt er nødvendigt at hemmeligholde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oplysningerne for at varetage væsentlige hensyn til offentlige eller private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interesser. Der kan f.eks. være tale om enkeltpersoners interesse i, at</w:t>
      </w:r>
    </w:p>
    <w:p w14:paraId="6F829C9B" w14:textId="77777777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oplysninger om deres personlige, herunder økonomiske forhold, beskyttes.</w:t>
      </w:r>
    </w:p>
    <w:p w14:paraId="1CAC3D8F" w14:textId="77777777" w:rsidR="00305072" w:rsidRDefault="00305072" w:rsidP="00305072">
      <w:pPr>
        <w:rPr>
          <w:sz w:val="24"/>
          <w:szCs w:val="24"/>
        </w:rPr>
      </w:pPr>
    </w:p>
    <w:p w14:paraId="3B48E86F" w14:textId="12449704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En person uden for den offentlige forvaltning skal som udgangspunkt ikke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beskæftige sig med enkeltpersoners private forhold, fortrolige oplysninger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og lignende, der er omfattet af forvaltningslovens bestemmelser om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tavshedspligt. Der kan alligevel opstå situationer, hvor en person udenfor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den offentlige forvaltning bliver bekendt med forhold, der indebærer, at</w:t>
      </w:r>
    </w:p>
    <w:p w14:paraId="7709BF5D" w14:textId="77777777" w:rsid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tavshedspligten aktualiseres.</w:t>
      </w:r>
    </w:p>
    <w:p w14:paraId="0EF88C3D" w14:textId="77777777" w:rsidR="00305072" w:rsidRPr="00305072" w:rsidRDefault="00305072" w:rsidP="00305072">
      <w:pPr>
        <w:rPr>
          <w:sz w:val="24"/>
          <w:szCs w:val="24"/>
        </w:rPr>
      </w:pPr>
    </w:p>
    <w:p w14:paraId="1E0E1B00" w14:textId="627ADD2A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Hvis der uberettiget videregives oplysninger, kan der være tale om brud på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tavshedspligten. Dette kan være strafbart efter straffelovens § 152.</w:t>
      </w:r>
    </w:p>
    <w:p w14:paraId="35067107" w14:textId="77777777" w:rsidR="00305072" w:rsidRDefault="00305072" w:rsidP="00305072">
      <w:pPr>
        <w:rPr>
          <w:sz w:val="24"/>
          <w:szCs w:val="24"/>
        </w:rPr>
      </w:pPr>
    </w:p>
    <w:p w14:paraId="004D43A1" w14:textId="77777777" w:rsidR="00B12788" w:rsidRDefault="00B12788" w:rsidP="00305072">
      <w:pPr>
        <w:rPr>
          <w:b/>
          <w:bCs/>
          <w:sz w:val="24"/>
          <w:szCs w:val="24"/>
        </w:rPr>
      </w:pPr>
    </w:p>
    <w:p w14:paraId="34B44402" w14:textId="77777777" w:rsidR="00B12788" w:rsidRDefault="00B12788" w:rsidP="00305072">
      <w:pPr>
        <w:rPr>
          <w:b/>
          <w:bCs/>
          <w:sz w:val="24"/>
          <w:szCs w:val="24"/>
        </w:rPr>
      </w:pPr>
    </w:p>
    <w:p w14:paraId="11FAF003" w14:textId="77777777" w:rsidR="00B12788" w:rsidRDefault="00B12788" w:rsidP="00305072">
      <w:pPr>
        <w:rPr>
          <w:b/>
          <w:bCs/>
          <w:sz w:val="24"/>
          <w:szCs w:val="24"/>
        </w:rPr>
      </w:pPr>
    </w:p>
    <w:p w14:paraId="55229192" w14:textId="77777777" w:rsidR="00B12788" w:rsidRDefault="00B12788" w:rsidP="00305072">
      <w:pPr>
        <w:rPr>
          <w:b/>
          <w:bCs/>
          <w:sz w:val="24"/>
          <w:szCs w:val="24"/>
        </w:rPr>
      </w:pPr>
    </w:p>
    <w:p w14:paraId="1E2E9330" w14:textId="62D65FB5" w:rsidR="00305072" w:rsidRPr="00305072" w:rsidRDefault="00305072" w:rsidP="00305072">
      <w:pPr>
        <w:rPr>
          <w:b/>
          <w:bCs/>
          <w:sz w:val="24"/>
          <w:szCs w:val="24"/>
        </w:rPr>
      </w:pPr>
      <w:r w:rsidRPr="00305072">
        <w:rPr>
          <w:b/>
          <w:bCs/>
          <w:sz w:val="24"/>
          <w:szCs w:val="24"/>
        </w:rPr>
        <w:t>Bilag:</w:t>
      </w:r>
    </w:p>
    <w:p w14:paraId="31718C28" w14:textId="77777777" w:rsidR="00305072" w:rsidRDefault="00305072" w:rsidP="00305072">
      <w:pPr>
        <w:rPr>
          <w:sz w:val="24"/>
          <w:szCs w:val="24"/>
        </w:rPr>
      </w:pPr>
    </w:p>
    <w:p w14:paraId="7BD15726" w14:textId="532AF122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Forvaltningslovens §27 og Straffelovens §152</w:t>
      </w:r>
    </w:p>
    <w:p w14:paraId="52FD266E" w14:textId="77777777" w:rsidR="00305072" w:rsidRDefault="00305072" w:rsidP="00305072">
      <w:pPr>
        <w:rPr>
          <w:sz w:val="24"/>
          <w:szCs w:val="24"/>
        </w:rPr>
      </w:pPr>
    </w:p>
    <w:p w14:paraId="29094E48" w14:textId="2743944E" w:rsidR="00305072" w:rsidRPr="00305072" w:rsidRDefault="00305072" w:rsidP="00305072">
      <w:pPr>
        <w:rPr>
          <w:sz w:val="24"/>
          <w:szCs w:val="24"/>
          <w:u w:val="single"/>
        </w:rPr>
      </w:pPr>
      <w:r w:rsidRPr="00305072">
        <w:rPr>
          <w:sz w:val="24"/>
          <w:szCs w:val="24"/>
          <w:u w:val="single"/>
        </w:rPr>
        <w:t>Forvaltningsloven om tavshedspligt</w:t>
      </w:r>
      <w:r>
        <w:rPr>
          <w:sz w:val="24"/>
          <w:szCs w:val="24"/>
          <w:u w:val="single"/>
        </w:rPr>
        <w:t>:</w:t>
      </w:r>
    </w:p>
    <w:p w14:paraId="0B53BF29" w14:textId="77777777" w:rsidR="00305072" w:rsidRDefault="00305072" w:rsidP="00305072">
      <w:pPr>
        <w:rPr>
          <w:sz w:val="24"/>
          <w:szCs w:val="24"/>
        </w:rPr>
      </w:pPr>
    </w:p>
    <w:p w14:paraId="37BB2540" w14:textId="19855124" w:rsid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§ 27. Den, der virker inden for den offentlige forvaltning, har tavshedspligt,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jfr. borgerlig straffelov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§ 152 og §§ 152 c-152 f, når en oplysning ved lov eller anden gyldig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bestemmelse er betegnet som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fortrolig, eller når det i øvrigt er nødvendigt at hemmeligholde den for at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varetage væsentlige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hensyn til offentlige eller private interesser, herunder navnlig til:</w:t>
      </w:r>
    </w:p>
    <w:p w14:paraId="064B43ED" w14:textId="77777777" w:rsidR="00305072" w:rsidRPr="00305072" w:rsidRDefault="00305072" w:rsidP="00305072">
      <w:pPr>
        <w:rPr>
          <w:sz w:val="24"/>
          <w:szCs w:val="24"/>
        </w:rPr>
      </w:pPr>
    </w:p>
    <w:p w14:paraId="2190C9BD" w14:textId="5A291E65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statens sikkerhed eller rigets forsvar,</w:t>
      </w:r>
    </w:p>
    <w:p w14:paraId="6BB6CC26" w14:textId="49988BDD" w:rsidR="00305072" w:rsidRPr="00B12788" w:rsidRDefault="00305072" w:rsidP="00B12788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rigets udenrigspolitiske eller udenrigsøkonomiske interesser, herunder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forholdet til</w:t>
      </w:r>
      <w:r w:rsidR="00B12788">
        <w:rPr>
          <w:sz w:val="24"/>
          <w:szCs w:val="24"/>
        </w:rPr>
        <w:t xml:space="preserve"> </w:t>
      </w:r>
      <w:r w:rsidRPr="00B12788">
        <w:rPr>
          <w:sz w:val="24"/>
          <w:szCs w:val="24"/>
        </w:rPr>
        <w:t>fremmede magter eller mellemfolkelige institutioner,</w:t>
      </w:r>
    </w:p>
    <w:p w14:paraId="449A00BE" w14:textId="241601EF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forebyggelse, efterforskning og forfølgning af lovovertrædelser samt straffuldbyrdelse og beskyttelse af sigtede, vidner eller andre i sager om strafferetlig eller disciplinær forfølgning,</w:t>
      </w:r>
    </w:p>
    <w:p w14:paraId="0831789D" w14:textId="77601655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gennemførelse af offentlig kontrol-, regulerings- eller planlægningsvirksomhed eller af</w:t>
      </w:r>
    </w:p>
    <w:p w14:paraId="6CECD488" w14:textId="77777777" w:rsidR="00305072" w:rsidRPr="00305072" w:rsidRDefault="00305072" w:rsidP="00B12788">
      <w:pPr>
        <w:pStyle w:val="Listeafsnit"/>
        <w:rPr>
          <w:sz w:val="24"/>
          <w:szCs w:val="24"/>
        </w:rPr>
      </w:pPr>
      <w:r w:rsidRPr="00305072">
        <w:rPr>
          <w:sz w:val="24"/>
          <w:szCs w:val="24"/>
        </w:rPr>
        <w:t>påtænkte foranstaltninger i henhold til skatte - og afgiftslovgivningen,</w:t>
      </w:r>
    </w:p>
    <w:p w14:paraId="735AB7D9" w14:textId="3783C101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det offentliges økonomiske interesser, herunder udførelsen af det offentliges</w:t>
      </w:r>
    </w:p>
    <w:p w14:paraId="7A4C0580" w14:textId="77777777" w:rsidR="00305072" w:rsidRPr="00305072" w:rsidRDefault="00305072" w:rsidP="00B12788">
      <w:pPr>
        <w:pStyle w:val="Listeafsnit"/>
        <w:rPr>
          <w:sz w:val="24"/>
          <w:szCs w:val="24"/>
        </w:rPr>
      </w:pPr>
      <w:r w:rsidRPr="00305072">
        <w:rPr>
          <w:sz w:val="24"/>
          <w:szCs w:val="24"/>
        </w:rPr>
        <w:t>forretningsvirksomhed,</w:t>
      </w:r>
    </w:p>
    <w:p w14:paraId="1D526B09" w14:textId="1C484B30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enkeltpersoners eller private selskabers eller foreningers interesse i at beskytte</w:t>
      </w:r>
    </w:p>
    <w:p w14:paraId="3C27C8E0" w14:textId="507F8BE3" w:rsidR="00305072" w:rsidRPr="00305072" w:rsidRDefault="00305072" w:rsidP="00B12788">
      <w:pPr>
        <w:pStyle w:val="Listeafsnit"/>
        <w:rPr>
          <w:sz w:val="24"/>
          <w:szCs w:val="24"/>
        </w:rPr>
      </w:pPr>
      <w:r w:rsidRPr="00305072">
        <w:rPr>
          <w:sz w:val="24"/>
          <w:szCs w:val="24"/>
        </w:rPr>
        <w:t>oplysninger om deres personlige eller interne, herunder økonomiske, forhold, eller</w:t>
      </w:r>
    </w:p>
    <w:p w14:paraId="5D51FDC8" w14:textId="219DCAEE" w:rsidR="00305072" w:rsidRPr="00305072" w:rsidRDefault="00305072" w:rsidP="0030507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05072">
        <w:rPr>
          <w:sz w:val="24"/>
          <w:szCs w:val="24"/>
        </w:rPr>
        <w:t>enkeltpersoners eller private selskabers eller foreningers økonomiske</w:t>
      </w:r>
    </w:p>
    <w:p w14:paraId="69D3F153" w14:textId="01551C57" w:rsidR="00305072" w:rsidRPr="00305072" w:rsidRDefault="00305072" w:rsidP="00B12788">
      <w:pPr>
        <w:pStyle w:val="Listeafsnit"/>
        <w:rPr>
          <w:sz w:val="24"/>
          <w:szCs w:val="24"/>
        </w:rPr>
      </w:pPr>
      <w:r w:rsidRPr="00305072">
        <w:rPr>
          <w:sz w:val="24"/>
          <w:szCs w:val="24"/>
        </w:rPr>
        <w:t>interesse i at beskytte oplysninger om tekniske indretninger eller fremgangsmåder eller</w:t>
      </w:r>
    </w:p>
    <w:p w14:paraId="18C08412" w14:textId="0D2A02F5" w:rsidR="00305072" w:rsidRPr="00305072" w:rsidRDefault="00305072" w:rsidP="00B12788">
      <w:pPr>
        <w:pStyle w:val="Listeafsnit"/>
        <w:rPr>
          <w:sz w:val="24"/>
          <w:szCs w:val="24"/>
        </w:rPr>
      </w:pPr>
      <w:r w:rsidRPr="00305072">
        <w:rPr>
          <w:sz w:val="24"/>
          <w:szCs w:val="24"/>
        </w:rPr>
        <w:t>om drifts- eller forretningsforhold.</w:t>
      </w:r>
    </w:p>
    <w:p w14:paraId="2A9A64F8" w14:textId="77777777" w:rsidR="00305072" w:rsidRDefault="00305072" w:rsidP="00305072">
      <w:pPr>
        <w:rPr>
          <w:sz w:val="24"/>
          <w:szCs w:val="24"/>
        </w:rPr>
      </w:pPr>
    </w:p>
    <w:p w14:paraId="5B2D1CD0" w14:textId="38EFC028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Stk. 2. Inden for den offentlige forvaltning kan der kun pålægges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tavshedspligt med hensyn til en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oplysning, når det er nødvendigt at hemmeligholde den for at varetage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væsentlige hensyn til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bestemte offentlige eller private interesser som nævnt i stk. 1.</w:t>
      </w:r>
    </w:p>
    <w:p w14:paraId="30C2348A" w14:textId="77777777" w:rsidR="00305072" w:rsidRDefault="00305072" w:rsidP="00305072">
      <w:pPr>
        <w:rPr>
          <w:sz w:val="24"/>
          <w:szCs w:val="24"/>
        </w:rPr>
      </w:pPr>
    </w:p>
    <w:p w14:paraId="49EA5E4F" w14:textId="16BD03BD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Stk. 3. En forvaltningsmyndighed kan bestemme, at en person uden for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 xml:space="preserve">den offentlige </w:t>
      </w:r>
      <w:r>
        <w:rPr>
          <w:sz w:val="24"/>
          <w:szCs w:val="24"/>
        </w:rPr>
        <w:t>f</w:t>
      </w:r>
      <w:r w:rsidRPr="00305072">
        <w:rPr>
          <w:sz w:val="24"/>
          <w:szCs w:val="24"/>
        </w:rPr>
        <w:t>orvaltning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har tavshedspligt med hensyn til fortrolige oplysninger, som myndigheden</w:t>
      </w:r>
    </w:p>
    <w:p w14:paraId="4E13AFC8" w14:textId="32677A4B" w:rsid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videregiver til den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pågældende uden at være forpligtet hertil.</w:t>
      </w:r>
    </w:p>
    <w:p w14:paraId="030FD3BD" w14:textId="77777777" w:rsidR="00305072" w:rsidRPr="00305072" w:rsidRDefault="00305072" w:rsidP="00305072">
      <w:pPr>
        <w:rPr>
          <w:sz w:val="24"/>
          <w:szCs w:val="24"/>
        </w:rPr>
      </w:pPr>
    </w:p>
    <w:p w14:paraId="3B0BB01D" w14:textId="14081E45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Stk. 4. Fastsættes der i henhold til § 1, stk. 2, regler om tavshedspligt, eller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pålægges der</w:t>
      </w:r>
    </w:p>
    <w:p w14:paraId="1F55C641" w14:textId="3F7C9A9C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tavshedspligt efter stk. 3, finder straffelovens § 152 og §§ 152 c-152 f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tilsvarende anvendelse på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overtrædelse af sådanne regler eller pålæg.</w:t>
      </w:r>
    </w:p>
    <w:p w14:paraId="159481F2" w14:textId="77777777" w:rsidR="00305072" w:rsidRDefault="00305072" w:rsidP="00305072">
      <w:pPr>
        <w:rPr>
          <w:sz w:val="24"/>
          <w:szCs w:val="24"/>
        </w:rPr>
      </w:pPr>
    </w:p>
    <w:p w14:paraId="0C41F029" w14:textId="77777777" w:rsidR="00B12788" w:rsidRDefault="00B12788" w:rsidP="00305072">
      <w:pPr>
        <w:rPr>
          <w:sz w:val="24"/>
          <w:szCs w:val="24"/>
          <w:u w:val="single"/>
        </w:rPr>
      </w:pPr>
    </w:p>
    <w:p w14:paraId="1977C784" w14:textId="77777777" w:rsidR="00B12788" w:rsidRDefault="00B12788" w:rsidP="00305072">
      <w:pPr>
        <w:rPr>
          <w:sz w:val="24"/>
          <w:szCs w:val="24"/>
          <w:u w:val="single"/>
        </w:rPr>
      </w:pPr>
    </w:p>
    <w:p w14:paraId="3055A249" w14:textId="77777777" w:rsidR="00B12788" w:rsidRDefault="00B12788" w:rsidP="00305072">
      <w:pPr>
        <w:rPr>
          <w:sz w:val="24"/>
          <w:szCs w:val="24"/>
          <w:u w:val="single"/>
        </w:rPr>
      </w:pPr>
    </w:p>
    <w:p w14:paraId="042F737F" w14:textId="77777777" w:rsidR="00B12788" w:rsidRDefault="00B12788" w:rsidP="00305072">
      <w:pPr>
        <w:rPr>
          <w:sz w:val="24"/>
          <w:szCs w:val="24"/>
          <w:u w:val="single"/>
        </w:rPr>
      </w:pPr>
    </w:p>
    <w:p w14:paraId="4784AA81" w14:textId="77777777" w:rsidR="00B12788" w:rsidRDefault="00B12788" w:rsidP="00305072">
      <w:pPr>
        <w:rPr>
          <w:sz w:val="24"/>
          <w:szCs w:val="24"/>
          <w:u w:val="single"/>
        </w:rPr>
      </w:pPr>
    </w:p>
    <w:p w14:paraId="29EDCB5C" w14:textId="77777777" w:rsidR="00B12788" w:rsidRDefault="00B12788" w:rsidP="00305072">
      <w:pPr>
        <w:rPr>
          <w:sz w:val="24"/>
          <w:szCs w:val="24"/>
          <w:u w:val="single"/>
        </w:rPr>
      </w:pPr>
    </w:p>
    <w:p w14:paraId="38A3786A" w14:textId="478DE743" w:rsidR="00305072" w:rsidRPr="00B12788" w:rsidRDefault="00305072" w:rsidP="00305072">
      <w:pPr>
        <w:rPr>
          <w:sz w:val="24"/>
          <w:szCs w:val="24"/>
          <w:u w:val="single"/>
        </w:rPr>
      </w:pPr>
      <w:r w:rsidRPr="00B12788">
        <w:rPr>
          <w:sz w:val="24"/>
          <w:szCs w:val="24"/>
          <w:u w:val="single"/>
        </w:rPr>
        <w:t>Straffeloven om tavshedspligt</w:t>
      </w:r>
      <w:r w:rsidR="00B12788">
        <w:rPr>
          <w:sz w:val="24"/>
          <w:szCs w:val="24"/>
          <w:u w:val="single"/>
        </w:rPr>
        <w:t>:</w:t>
      </w:r>
    </w:p>
    <w:p w14:paraId="13F5B70C" w14:textId="77777777" w:rsidR="00305072" w:rsidRPr="00305072" w:rsidRDefault="00305072" w:rsidP="00305072">
      <w:pPr>
        <w:rPr>
          <w:sz w:val="24"/>
          <w:szCs w:val="24"/>
        </w:rPr>
      </w:pPr>
    </w:p>
    <w:p w14:paraId="6FB66C10" w14:textId="788C6083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§ 152. Den, som virker eller har virket i offentlig tjeneste eller hverv, og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som uberettiget videregiver eller udnytter fortrolige oplysninger, hvortil den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pågældende i den forbindelse har fået kendskab, straffes med bøde eller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fængsel indtil 6 måneder.</w:t>
      </w:r>
    </w:p>
    <w:p w14:paraId="3525EFF6" w14:textId="77777777" w:rsidR="00305072" w:rsidRDefault="00305072" w:rsidP="00305072">
      <w:pPr>
        <w:rPr>
          <w:sz w:val="24"/>
          <w:szCs w:val="24"/>
        </w:rPr>
      </w:pPr>
    </w:p>
    <w:p w14:paraId="332B73F4" w14:textId="54A08BD3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Stk. 2. Begås det i stk. 1 nævnte forhold med forsæt til at skaffe sig eller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andre uberettiget vinding, eller foreligger der i øvrigt særligt skærpende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omstændigheder, kan straffen stige til fængsel indtil 2 år. Som særligt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skærpende omstændighed anses navnlig tilfælde, hvor videregivelsen eller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udnyttelsen er sket under sådanne omstændigheder, at det påfører andre</w:t>
      </w:r>
    </w:p>
    <w:p w14:paraId="250C28A4" w14:textId="77777777" w:rsidR="00305072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en betydelig skade eller indebærer en særlig risiko herfor.</w:t>
      </w:r>
    </w:p>
    <w:p w14:paraId="4507E8D0" w14:textId="77777777" w:rsidR="00305072" w:rsidRDefault="00305072" w:rsidP="00305072">
      <w:pPr>
        <w:rPr>
          <w:sz w:val="24"/>
          <w:szCs w:val="24"/>
        </w:rPr>
      </w:pPr>
    </w:p>
    <w:p w14:paraId="0A950B65" w14:textId="58ED6B8B" w:rsidR="008A2579" w:rsidRPr="00305072" w:rsidRDefault="00305072" w:rsidP="00305072">
      <w:pPr>
        <w:rPr>
          <w:sz w:val="24"/>
          <w:szCs w:val="24"/>
        </w:rPr>
      </w:pPr>
      <w:r w:rsidRPr="00305072">
        <w:rPr>
          <w:sz w:val="24"/>
          <w:szCs w:val="24"/>
        </w:rPr>
        <w:t>Stk. 3. En oplysning er fortrolig, når den ved lov eller anden gyldig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bestemmelse er betegnet som sådan, eller når det i øvrigt er nødvendigt at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 xml:space="preserve">hemmeligholde den for at varetage </w:t>
      </w:r>
      <w:r>
        <w:rPr>
          <w:sz w:val="24"/>
          <w:szCs w:val="24"/>
        </w:rPr>
        <w:t>v</w:t>
      </w:r>
      <w:r w:rsidRPr="00305072">
        <w:rPr>
          <w:sz w:val="24"/>
          <w:szCs w:val="24"/>
        </w:rPr>
        <w:t>æsentlige hensyn til offentlige eller</w:t>
      </w:r>
      <w:r>
        <w:rPr>
          <w:sz w:val="24"/>
          <w:szCs w:val="24"/>
        </w:rPr>
        <w:t xml:space="preserve"> </w:t>
      </w:r>
      <w:r w:rsidRPr="00305072">
        <w:rPr>
          <w:sz w:val="24"/>
          <w:szCs w:val="24"/>
        </w:rPr>
        <w:t>private interesser.</w:t>
      </w:r>
    </w:p>
    <w:sectPr w:rsidR="008A2579" w:rsidRPr="00305072" w:rsidSect="00B12788">
      <w:headerReference w:type="default" r:id="rId7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1F96" w14:textId="77777777" w:rsidR="00305072" w:rsidRDefault="00305072" w:rsidP="00305072">
      <w:r>
        <w:separator/>
      </w:r>
    </w:p>
  </w:endnote>
  <w:endnote w:type="continuationSeparator" w:id="0">
    <w:p w14:paraId="6264F8C2" w14:textId="77777777" w:rsidR="00305072" w:rsidRDefault="00305072" w:rsidP="003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30BD" w14:textId="77777777" w:rsidR="00305072" w:rsidRDefault="00305072" w:rsidP="00305072">
      <w:r>
        <w:separator/>
      </w:r>
    </w:p>
  </w:footnote>
  <w:footnote w:type="continuationSeparator" w:id="0">
    <w:p w14:paraId="6A9593BD" w14:textId="77777777" w:rsidR="00305072" w:rsidRDefault="00305072" w:rsidP="0030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F949" w14:textId="1F46E969" w:rsidR="00305072" w:rsidRDefault="00305072" w:rsidP="00305072">
    <w:pPr>
      <w:pStyle w:val="Sidehoved"/>
      <w:jc w:val="right"/>
    </w:pPr>
    <w:r>
      <w:rPr>
        <w:noProof/>
      </w:rPr>
      <w:drawing>
        <wp:inline distT="0" distB="0" distL="0" distR="0" wp14:anchorId="7E7531B0" wp14:editId="2877C55A">
          <wp:extent cx="1792789" cy="411459"/>
          <wp:effectExtent l="0" t="0" r="0" b="8255"/>
          <wp:docPr id="1224609693" name="Billede 1" descr="Et billede, der indeholder kunst, Font/skrifttype, skærmbillede, desig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9296" name="Billede 1" descr="Et billede, der indeholder kunst, Font/skrifttype, skærmbillede, design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15" cy="419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39AC"/>
    <w:multiLevelType w:val="hybridMultilevel"/>
    <w:tmpl w:val="2A0C7736"/>
    <w:lvl w:ilvl="0" w:tplc="AC34F54C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933C5"/>
    <w:multiLevelType w:val="hybridMultilevel"/>
    <w:tmpl w:val="9B72DF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21455">
    <w:abstractNumId w:val="1"/>
  </w:num>
  <w:num w:numId="2" w16cid:durableId="109860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72"/>
    <w:rsid w:val="00000B73"/>
    <w:rsid w:val="00305072"/>
    <w:rsid w:val="004B47EB"/>
    <w:rsid w:val="008A2579"/>
    <w:rsid w:val="00952AC8"/>
    <w:rsid w:val="00B12788"/>
    <w:rsid w:val="00D7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2B9E"/>
  <w15:chartTrackingRefBased/>
  <w15:docId w15:val="{6CDB455E-5737-4160-A885-1C91DC22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5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5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5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5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5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5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50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50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50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50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50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5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50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50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5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0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50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50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0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507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0507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5072"/>
  </w:style>
  <w:style w:type="paragraph" w:styleId="Sidefod">
    <w:name w:val="footer"/>
    <w:basedOn w:val="Normal"/>
    <w:link w:val="SidefodTegn"/>
    <w:uiPriority w:val="99"/>
    <w:unhideWhenUsed/>
    <w:rsid w:val="0030507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5072"/>
  </w:style>
  <w:style w:type="table" w:styleId="Tabel-Gitter">
    <w:name w:val="Table Grid"/>
    <w:basedOn w:val="Tabel-Normal"/>
    <w:uiPriority w:val="39"/>
    <w:rsid w:val="0030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Koldtoft</dc:creator>
  <cp:keywords/>
  <dc:description/>
  <cp:lastModifiedBy>Jesper Koldtoft</cp:lastModifiedBy>
  <cp:revision>2</cp:revision>
  <dcterms:created xsi:type="dcterms:W3CDTF">2025-09-28T08:44:00Z</dcterms:created>
  <dcterms:modified xsi:type="dcterms:W3CDTF">2025-09-28T08:44:00Z</dcterms:modified>
</cp:coreProperties>
</file>